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3B" w:rsidRPr="00F4383E" w:rsidRDefault="00B84E3B" w:rsidP="002E30A6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383E">
        <w:rPr>
          <w:rFonts w:ascii="Times New Roman" w:hAnsi="Times New Roman" w:cs="Times New Roman"/>
          <w:b/>
          <w:sz w:val="20"/>
          <w:szCs w:val="20"/>
        </w:rPr>
        <w:t>Приложение № 1</w:t>
      </w:r>
      <w:r w:rsidR="00347DA0">
        <w:rPr>
          <w:rFonts w:ascii="Times New Roman" w:hAnsi="Times New Roman" w:cs="Times New Roman"/>
          <w:b/>
          <w:sz w:val="20"/>
          <w:szCs w:val="20"/>
        </w:rPr>
        <w:t>9</w:t>
      </w:r>
    </w:p>
    <w:p w:rsidR="008F5364" w:rsidRPr="00F4383E" w:rsidRDefault="008F5364" w:rsidP="002E30A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4383E">
        <w:rPr>
          <w:rFonts w:ascii="Times New Roman" w:hAnsi="Times New Roman" w:cs="Times New Roman"/>
          <w:sz w:val="20"/>
          <w:szCs w:val="20"/>
        </w:rPr>
        <w:t>Утвержден</w:t>
      </w:r>
    </w:p>
    <w:p w:rsidR="008F5364" w:rsidRPr="00F4383E" w:rsidRDefault="008F5364" w:rsidP="002E30A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4383E">
        <w:rPr>
          <w:rFonts w:ascii="Times New Roman" w:hAnsi="Times New Roman" w:cs="Times New Roman"/>
          <w:sz w:val="20"/>
          <w:szCs w:val="20"/>
        </w:rPr>
        <w:t xml:space="preserve">решением Совета депутатов </w:t>
      </w:r>
    </w:p>
    <w:p w:rsidR="008F5364" w:rsidRPr="00F4383E" w:rsidRDefault="00042074" w:rsidP="002E30A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Серебрянского</w:t>
      </w:r>
      <w:r w:rsidR="00B84E3B" w:rsidRPr="00F4383E">
        <w:rPr>
          <w:rFonts w:ascii="Times New Roman" w:hAnsi="Times New Roman" w:cs="Times New Roman"/>
          <w:sz w:val="20"/>
          <w:szCs w:val="20"/>
        </w:rPr>
        <w:t xml:space="preserve"> сельского </w:t>
      </w:r>
      <w:r w:rsidR="008F5364" w:rsidRPr="00F4383E">
        <w:rPr>
          <w:rFonts w:ascii="Times New Roman" w:hAnsi="Times New Roman" w:cs="Times New Roman"/>
          <w:sz w:val="20"/>
          <w:szCs w:val="20"/>
        </w:rPr>
        <w:t>поселения</w:t>
      </w:r>
    </w:p>
    <w:p w:rsidR="00080A16" w:rsidRPr="00F4383E" w:rsidRDefault="00080A16" w:rsidP="00080A1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4383E">
        <w:rPr>
          <w:rFonts w:ascii="Times New Roman" w:hAnsi="Times New Roman" w:cs="Times New Roman"/>
          <w:sz w:val="20"/>
          <w:szCs w:val="20"/>
        </w:rPr>
        <w:t xml:space="preserve">Лужского муниципального района </w:t>
      </w:r>
    </w:p>
    <w:p w:rsidR="00B84E3B" w:rsidRPr="00042074" w:rsidRDefault="00565AA1" w:rsidP="002E30A6">
      <w:pPr>
        <w:pStyle w:val="a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042074">
        <w:rPr>
          <w:rFonts w:ascii="Times New Roman" w:hAnsi="Times New Roman" w:cs="Times New Roman"/>
          <w:sz w:val="20"/>
          <w:szCs w:val="20"/>
        </w:rPr>
        <w:t xml:space="preserve">т  </w:t>
      </w:r>
      <w:r w:rsidR="00042074">
        <w:rPr>
          <w:rFonts w:ascii="Times New Roman" w:hAnsi="Times New Roman" w:cs="Times New Roman"/>
          <w:sz w:val="20"/>
          <w:szCs w:val="20"/>
          <w:u w:val="single"/>
        </w:rPr>
        <w:t xml:space="preserve">27 </w:t>
      </w:r>
      <w:r w:rsidR="00042074">
        <w:rPr>
          <w:rFonts w:ascii="Times New Roman" w:hAnsi="Times New Roman" w:cs="Times New Roman"/>
          <w:sz w:val="20"/>
          <w:szCs w:val="20"/>
        </w:rPr>
        <w:t xml:space="preserve"> декабря  </w:t>
      </w:r>
      <w:r w:rsidR="00B84E3B" w:rsidRPr="00F4383E">
        <w:rPr>
          <w:rFonts w:ascii="Times New Roman" w:hAnsi="Times New Roman" w:cs="Times New Roman"/>
          <w:sz w:val="20"/>
          <w:szCs w:val="20"/>
        </w:rPr>
        <w:t>201</w:t>
      </w:r>
      <w:r w:rsidR="009D0459">
        <w:rPr>
          <w:rFonts w:ascii="Times New Roman" w:hAnsi="Times New Roman" w:cs="Times New Roman"/>
          <w:sz w:val="20"/>
          <w:szCs w:val="20"/>
        </w:rPr>
        <w:t>9</w:t>
      </w:r>
      <w:r w:rsidR="004D2F2D" w:rsidRPr="00F4383E">
        <w:rPr>
          <w:rFonts w:ascii="Times New Roman" w:hAnsi="Times New Roman" w:cs="Times New Roman"/>
          <w:sz w:val="20"/>
          <w:szCs w:val="20"/>
        </w:rPr>
        <w:t xml:space="preserve"> </w:t>
      </w:r>
      <w:r w:rsidR="006214AD">
        <w:rPr>
          <w:rFonts w:ascii="Times New Roman" w:hAnsi="Times New Roman" w:cs="Times New Roman"/>
          <w:sz w:val="20"/>
          <w:szCs w:val="20"/>
        </w:rPr>
        <w:t>г.</w:t>
      </w:r>
      <w:r w:rsidR="00B84E3B" w:rsidRPr="00F4383E">
        <w:rPr>
          <w:rFonts w:ascii="Times New Roman" w:hAnsi="Times New Roman" w:cs="Times New Roman"/>
          <w:sz w:val="20"/>
          <w:szCs w:val="20"/>
        </w:rPr>
        <w:t xml:space="preserve"> №</w:t>
      </w:r>
      <w:r w:rsidR="006000EA" w:rsidRPr="00F4383E">
        <w:rPr>
          <w:rFonts w:ascii="Times New Roman" w:hAnsi="Times New Roman" w:cs="Times New Roman"/>
          <w:sz w:val="20"/>
          <w:szCs w:val="20"/>
        </w:rPr>
        <w:t xml:space="preserve"> </w:t>
      </w:r>
      <w:r w:rsidR="00042074">
        <w:rPr>
          <w:rFonts w:ascii="Times New Roman" w:hAnsi="Times New Roman" w:cs="Times New Roman"/>
          <w:sz w:val="20"/>
          <w:szCs w:val="20"/>
          <w:u w:val="single"/>
        </w:rPr>
        <w:t xml:space="preserve"> 36 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5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содержащим</w:t>
      </w:r>
      <w:proofErr w:type="gramEnd"/>
      <w:r w:rsidRPr="00072639">
        <w:rPr>
          <w:rFonts w:ascii="Times New Roman" w:hAnsi="Times New Roman" w:cs="Times New Roman"/>
          <w:sz w:val="24"/>
          <w:szCs w:val="24"/>
        </w:rPr>
        <w:t xml:space="preserve">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2639">
        <w:rPr>
          <w:rFonts w:ascii="Times New Roman" w:hAnsi="Times New Roman" w:cs="Times New Roman"/>
          <w:sz w:val="24"/>
          <w:szCs w:val="24"/>
        </w:rPr>
        <w:t xml:space="preserve">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72639">
        <w:rPr>
          <w:rFonts w:ascii="Times New Roman" w:hAnsi="Times New Roman" w:cs="Times New Roman"/>
          <w:sz w:val="24"/>
          <w:szCs w:val="24"/>
        </w:rPr>
        <w:t xml:space="preserve">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bookmarkStart w:id="1" w:name="_GoBack"/>
      <w:bookmarkEnd w:id="1"/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</w:t>
      </w:r>
      <w:proofErr w:type="gramStart"/>
      <w:r w:rsidR="008F5364" w:rsidRPr="0007263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2E30A6"/>
    <w:rsid w:val="00347DA0"/>
    <w:rsid w:val="00364B09"/>
    <w:rsid w:val="00390873"/>
    <w:rsid w:val="003E4989"/>
    <w:rsid w:val="003F4B10"/>
    <w:rsid w:val="004D2F2D"/>
    <w:rsid w:val="004F5A61"/>
    <w:rsid w:val="00565AA1"/>
    <w:rsid w:val="005E7C86"/>
    <w:rsid w:val="006000EA"/>
    <w:rsid w:val="006214AD"/>
    <w:rsid w:val="006D3FF9"/>
    <w:rsid w:val="007819C0"/>
    <w:rsid w:val="008A5EDD"/>
    <w:rsid w:val="008D1A0D"/>
    <w:rsid w:val="008F5364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D71D70"/>
    <w:rsid w:val="00E16391"/>
    <w:rsid w:val="00F01465"/>
    <w:rsid w:val="00F4383E"/>
    <w:rsid w:val="00F616A9"/>
    <w:rsid w:val="00FB566A"/>
    <w:rsid w:val="00FF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CC8102E8D09E9DE033480D3781934B2AB88C12AA961KD43G" TargetMode="External"/><Relationship Id="rId5" Type="http://schemas.openxmlformats.org/officeDocument/2006/relationships/hyperlink" Target="consultantplus://offline/ref=8DC5677C99F025ED26B9752AFD7108A1B84F7ECB132C8D09E9DE033480D3781934B2AB88C128A166KD4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DBAA7-2588-43B0-B24F-C06AC766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2018-11-15T14:09:00Z</cp:lastPrinted>
  <dcterms:created xsi:type="dcterms:W3CDTF">2019-12-23T07:25:00Z</dcterms:created>
  <dcterms:modified xsi:type="dcterms:W3CDTF">2019-12-23T07:25:00Z</dcterms:modified>
</cp:coreProperties>
</file>